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FB5" w:rsidRDefault="004A2FB5" w:rsidP="004A2FB5">
      <w:pPr>
        <w:jc w:val="center"/>
      </w:pPr>
      <w:r>
        <w:t>LA QUAGLIA BLU ASIATICA</w:t>
      </w:r>
    </w:p>
    <w:p w:rsidR="004A2FB5" w:rsidRPr="004A2FB5" w:rsidRDefault="004A2FB5" w:rsidP="004A2FB5">
      <w:pPr>
        <w:jc w:val="center"/>
      </w:pPr>
      <w:r w:rsidRPr="004A2FB5">
        <w:t>Classificazione</w:t>
      </w:r>
    </w:p>
    <w:p w:rsidR="004A2FB5" w:rsidRDefault="009E5568" w:rsidP="004A2FB5">
      <w:pPr>
        <w:rPr>
          <w:lang w:val="en-US"/>
        </w:rPr>
      </w:pPr>
      <w:hyperlink r:id="rId4" w:history="1">
        <w:r w:rsidR="004A2FB5" w:rsidRPr="004A2FB5">
          <w:rPr>
            <w:rStyle w:val="Collegamentoipertestuale"/>
            <w:lang w:val="en-US"/>
          </w:rPr>
          <w:t>Coturnix chinensis</w:t>
        </w:r>
      </w:hyperlink>
      <w:r w:rsidR="004A2FB5">
        <w:rPr>
          <w:lang w:val="en-US"/>
        </w:rPr>
        <w:t xml:space="preserve"> (Linnaeus, 1766) </w:t>
      </w:r>
      <w:r w:rsidR="004A2FB5" w:rsidRPr="004A2FB5">
        <w:rPr>
          <w:lang w:val="en-US"/>
        </w:rPr>
        <w:t xml:space="preserve">Blue-breasted Quail, King Quail   </w:t>
      </w:r>
    </w:p>
    <w:p w:rsidR="004A2FB5" w:rsidRDefault="009E5568" w:rsidP="004A2FB5">
      <w:pPr>
        <w:rPr>
          <w:lang w:val="en-US"/>
        </w:rPr>
      </w:pPr>
      <w:hyperlink r:id="rId5" w:history="1">
        <w:r w:rsidR="004A2FB5" w:rsidRPr="004A2FB5">
          <w:rPr>
            <w:rStyle w:val="Collegamentoipertestuale"/>
            <w:lang w:val="en-US"/>
          </w:rPr>
          <w:t>Coturnix chinensis chinensis</w:t>
        </w:r>
      </w:hyperlink>
      <w:r w:rsidR="004A2FB5">
        <w:rPr>
          <w:lang w:val="en-US"/>
        </w:rPr>
        <w:t xml:space="preserve"> (Linnaeus, 1766)</w:t>
      </w:r>
      <w:r w:rsidR="004A2FB5" w:rsidRPr="004A2FB5">
        <w:rPr>
          <w:lang w:val="en-US"/>
        </w:rPr>
        <w:t xml:space="preserve">  </w:t>
      </w:r>
    </w:p>
    <w:p w:rsidR="004A2FB5" w:rsidRDefault="009E5568" w:rsidP="004A2FB5">
      <w:pPr>
        <w:rPr>
          <w:lang w:val="en-US"/>
        </w:rPr>
      </w:pPr>
      <w:hyperlink r:id="rId6" w:history="1">
        <w:proofErr w:type="spellStart"/>
        <w:r w:rsidR="004A2FB5" w:rsidRPr="004A2FB5">
          <w:rPr>
            <w:rStyle w:val="Collegamentoipertestuale"/>
            <w:lang w:val="en-US"/>
          </w:rPr>
          <w:t>Coturnix</w:t>
        </w:r>
        <w:proofErr w:type="spellEnd"/>
        <w:r w:rsidR="004A2FB5" w:rsidRPr="004A2FB5">
          <w:rPr>
            <w:rStyle w:val="Collegamentoipertestuale"/>
            <w:lang w:val="en-US"/>
          </w:rPr>
          <w:t xml:space="preserve"> </w:t>
        </w:r>
        <w:proofErr w:type="spellStart"/>
        <w:r w:rsidR="004A2FB5" w:rsidRPr="004A2FB5">
          <w:rPr>
            <w:rStyle w:val="Collegamentoipertestuale"/>
            <w:lang w:val="en-US"/>
          </w:rPr>
          <w:t>chinensis</w:t>
        </w:r>
        <w:proofErr w:type="spellEnd"/>
        <w:r w:rsidR="004A2FB5" w:rsidRPr="004A2FB5">
          <w:rPr>
            <w:rStyle w:val="Collegamentoipertestuale"/>
            <w:lang w:val="en-US"/>
          </w:rPr>
          <w:t xml:space="preserve"> </w:t>
        </w:r>
        <w:proofErr w:type="spellStart"/>
        <w:r w:rsidR="004A2FB5" w:rsidRPr="004A2FB5">
          <w:rPr>
            <w:rStyle w:val="Collegamentoipertestuale"/>
            <w:lang w:val="en-US"/>
          </w:rPr>
          <w:t>colletti</w:t>
        </w:r>
        <w:proofErr w:type="spellEnd"/>
      </w:hyperlink>
      <w:r w:rsidR="004A2FB5">
        <w:rPr>
          <w:lang w:val="en-US"/>
        </w:rPr>
        <w:t xml:space="preserve"> (Mathews, 1912) </w:t>
      </w:r>
      <w:r w:rsidR="004A2FB5" w:rsidRPr="004A2FB5">
        <w:rPr>
          <w:lang w:val="en-US"/>
        </w:rPr>
        <w:t xml:space="preserve">   </w:t>
      </w:r>
    </w:p>
    <w:p w:rsidR="004A2FB5" w:rsidRDefault="009E5568" w:rsidP="004A2FB5">
      <w:pPr>
        <w:rPr>
          <w:lang w:val="en-US"/>
        </w:rPr>
      </w:pPr>
      <w:hyperlink r:id="rId7" w:history="1">
        <w:proofErr w:type="spellStart"/>
        <w:r w:rsidR="004A2FB5" w:rsidRPr="004A2FB5">
          <w:rPr>
            <w:rStyle w:val="Collegamentoipertestuale"/>
            <w:lang w:val="en-US"/>
          </w:rPr>
          <w:t>Coturnix</w:t>
        </w:r>
        <w:proofErr w:type="spellEnd"/>
        <w:r w:rsidR="004A2FB5" w:rsidRPr="004A2FB5">
          <w:rPr>
            <w:rStyle w:val="Collegamentoipertestuale"/>
            <w:lang w:val="en-US"/>
          </w:rPr>
          <w:t xml:space="preserve"> </w:t>
        </w:r>
        <w:proofErr w:type="spellStart"/>
        <w:r w:rsidR="004A2FB5" w:rsidRPr="004A2FB5">
          <w:rPr>
            <w:rStyle w:val="Collegamentoipertestuale"/>
            <w:lang w:val="en-US"/>
          </w:rPr>
          <w:t>chinensis</w:t>
        </w:r>
        <w:proofErr w:type="spellEnd"/>
        <w:r w:rsidR="004A2FB5" w:rsidRPr="004A2FB5">
          <w:rPr>
            <w:rStyle w:val="Collegamentoipertestuale"/>
            <w:lang w:val="en-US"/>
          </w:rPr>
          <w:t xml:space="preserve"> </w:t>
        </w:r>
        <w:proofErr w:type="spellStart"/>
        <w:r w:rsidR="004A2FB5" w:rsidRPr="004A2FB5">
          <w:rPr>
            <w:rStyle w:val="Collegamentoipertestuale"/>
            <w:lang w:val="en-US"/>
          </w:rPr>
          <w:t>lepida</w:t>
        </w:r>
        <w:proofErr w:type="spellEnd"/>
      </w:hyperlink>
      <w:r w:rsidR="004A2FB5">
        <w:rPr>
          <w:lang w:val="en-US"/>
        </w:rPr>
        <w:t xml:space="preserve"> (</w:t>
      </w:r>
      <w:proofErr w:type="spellStart"/>
      <w:r w:rsidR="004A2FB5">
        <w:rPr>
          <w:lang w:val="en-US"/>
        </w:rPr>
        <w:t>Hartlaub</w:t>
      </w:r>
      <w:proofErr w:type="spellEnd"/>
      <w:r w:rsidR="004A2FB5">
        <w:rPr>
          <w:lang w:val="en-US"/>
        </w:rPr>
        <w:t xml:space="preserve">, 1879) </w:t>
      </w:r>
    </w:p>
    <w:p w:rsidR="004A2FB5" w:rsidRDefault="004A2FB5" w:rsidP="004A2FB5">
      <w:pPr>
        <w:rPr>
          <w:lang w:val="en-US"/>
        </w:rPr>
      </w:pPr>
      <w:r w:rsidRPr="004A2FB5">
        <w:rPr>
          <w:lang w:val="en-US"/>
        </w:rPr>
        <w:t xml:space="preserve"> </w:t>
      </w:r>
      <w:hyperlink r:id="rId8" w:history="1">
        <w:proofErr w:type="spellStart"/>
        <w:r w:rsidRPr="004A2FB5">
          <w:rPr>
            <w:rStyle w:val="Collegamentoipertestuale"/>
            <w:lang w:val="en-US"/>
          </w:rPr>
          <w:t>Coturnix</w:t>
        </w:r>
        <w:proofErr w:type="spellEnd"/>
        <w:r w:rsidRPr="004A2FB5">
          <w:rPr>
            <w:rStyle w:val="Collegamentoipertestuale"/>
            <w:lang w:val="en-US"/>
          </w:rPr>
          <w:t xml:space="preserve"> </w:t>
        </w:r>
        <w:proofErr w:type="spellStart"/>
        <w:r w:rsidRPr="004A2FB5">
          <w:rPr>
            <w:rStyle w:val="Collegamentoipertestuale"/>
            <w:lang w:val="en-US"/>
          </w:rPr>
          <w:t>chinensis</w:t>
        </w:r>
        <w:proofErr w:type="spellEnd"/>
        <w:r w:rsidRPr="004A2FB5">
          <w:rPr>
            <w:rStyle w:val="Collegamentoipertestuale"/>
            <w:lang w:val="en-US"/>
          </w:rPr>
          <w:t xml:space="preserve"> </w:t>
        </w:r>
        <w:proofErr w:type="spellStart"/>
        <w:r w:rsidRPr="004A2FB5">
          <w:rPr>
            <w:rStyle w:val="Collegamentoipertestuale"/>
            <w:lang w:val="en-US"/>
          </w:rPr>
          <w:t>lineata</w:t>
        </w:r>
        <w:proofErr w:type="spellEnd"/>
      </w:hyperlink>
      <w:r w:rsidRPr="004A2FB5">
        <w:rPr>
          <w:lang w:val="en-US"/>
        </w:rPr>
        <w:t xml:space="preserve"> (</w:t>
      </w:r>
      <w:proofErr w:type="spellStart"/>
      <w:r w:rsidRPr="004A2FB5">
        <w:rPr>
          <w:lang w:val="en-US"/>
        </w:rPr>
        <w:t>Scopoli</w:t>
      </w:r>
      <w:proofErr w:type="spellEnd"/>
      <w:r w:rsidRPr="004A2FB5">
        <w:rPr>
          <w:lang w:val="en-US"/>
        </w:rPr>
        <w:t xml:space="preserve">, 1786) </w:t>
      </w:r>
    </w:p>
    <w:p w:rsidR="004A2FB5" w:rsidRDefault="009E5568" w:rsidP="004A2FB5">
      <w:pPr>
        <w:rPr>
          <w:lang w:val="en-US"/>
        </w:rPr>
      </w:pPr>
      <w:hyperlink r:id="rId9" w:history="1">
        <w:proofErr w:type="spellStart"/>
        <w:r w:rsidR="004A2FB5" w:rsidRPr="004A2FB5">
          <w:rPr>
            <w:rStyle w:val="Collegamentoipertestuale"/>
            <w:lang w:val="en-US"/>
          </w:rPr>
          <w:t>Coturnix</w:t>
        </w:r>
        <w:proofErr w:type="spellEnd"/>
        <w:r w:rsidR="004A2FB5" w:rsidRPr="004A2FB5">
          <w:rPr>
            <w:rStyle w:val="Collegamentoipertestuale"/>
            <w:lang w:val="en-US"/>
          </w:rPr>
          <w:t xml:space="preserve"> </w:t>
        </w:r>
        <w:proofErr w:type="spellStart"/>
        <w:r w:rsidR="004A2FB5" w:rsidRPr="004A2FB5">
          <w:rPr>
            <w:rStyle w:val="Collegamentoipertestuale"/>
            <w:lang w:val="en-US"/>
          </w:rPr>
          <w:t>chinensis</w:t>
        </w:r>
        <w:proofErr w:type="spellEnd"/>
        <w:r w:rsidR="004A2FB5" w:rsidRPr="004A2FB5">
          <w:rPr>
            <w:rStyle w:val="Collegamentoipertestuale"/>
            <w:lang w:val="en-US"/>
          </w:rPr>
          <w:t xml:space="preserve"> </w:t>
        </w:r>
        <w:proofErr w:type="spellStart"/>
        <w:r w:rsidR="004A2FB5" w:rsidRPr="004A2FB5">
          <w:rPr>
            <w:rStyle w:val="Collegamentoipertestuale"/>
            <w:lang w:val="en-US"/>
          </w:rPr>
          <w:t>novaeguineae</w:t>
        </w:r>
        <w:proofErr w:type="spellEnd"/>
      </w:hyperlink>
      <w:r w:rsidR="004A2FB5" w:rsidRPr="004A2FB5">
        <w:rPr>
          <w:lang w:val="en-US"/>
        </w:rPr>
        <w:t xml:space="preserve"> (Rand, 1941) </w:t>
      </w:r>
    </w:p>
    <w:p w:rsidR="004A2FB5" w:rsidRDefault="009E5568" w:rsidP="004A2FB5">
      <w:pPr>
        <w:rPr>
          <w:lang w:val="en-US"/>
        </w:rPr>
      </w:pPr>
      <w:hyperlink r:id="rId10" w:history="1">
        <w:proofErr w:type="spellStart"/>
        <w:r w:rsidR="004A2FB5" w:rsidRPr="004A2FB5">
          <w:rPr>
            <w:rStyle w:val="Collegamentoipertestuale"/>
            <w:lang w:val="en-US"/>
          </w:rPr>
          <w:t>Coturnix</w:t>
        </w:r>
        <w:proofErr w:type="spellEnd"/>
        <w:r w:rsidR="004A2FB5" w:rsidRPr="004A2FB5">
          <w:rPr>
            <w:rStyle w:val="Collegamentoipertestuale"/>
            <w:lang w:val="en-US"/>
          </w:rPr>
          <w:t xml:space="preserve"> </w:t>
        </w:r>
        <w:proofErr w:type="spellStart"/>
        <w:r w:rsidR="004A2FB5" w:rsidRPr="004A2FB5">
          <w:rPr>
            <w:rStyle w:val="Collegamentoipertestuale"/>
            <w:lang w:val="en-US"/>
          </w:rPr>
          <w:t>chinensis</w:t>
        </w:r>
        <w:proofErr w:type="spellEnd"/>
        <w:r w:rsidR="004A2FB5" w:rsidRPr="004A2FB5">
          <w:rPr>
            <w:rStyle w:val="Collegamentoipertestuale"/>
            <w:lang w:val="en-US"/>
          </w:rPr>
          <w:t xml:space="preserve"> </w:t>
        </w:r>
        <w:proofErr w:type="spellStart"/>
        <w:r w:rsidR="004A2FB5" w:rsidRPr="004A2FB5">
          <w:rPr>
            <w:rStyle w:val="Collegamentoipertestuale"/>
            <w:lang w:val="en-US"/>
          </w:rPr>
          <w:t>palmeri</w:t>
        </w:r>
        <w:proofErr w:type="spellEnd"/>
      </w:hyperlink>
      <w:r w:rsidR="004A2FB5" w:rsidRPr="004A2FB5">
        <w:rPr>
          <w:lang w:val="en-US"/>
        </w:rPr>
        <w:t xml:space="preserve"> (Riley, 1919) </w:t>
      </w:r>
    </w:p>
    <w:p w:rsidR="004A2FB5" w:rsidRDefault="009E5568" w:rsidP="004A2FB5">
      <w:pPr>
        <w:rPr>
          <w:lang w:val="en-US"/>
        </w:rPr>
      </w:pPr>
      <w:hyperlink r:id="rId11" w:history="1">
        <w:proofErr w:type="spellStart"/>
        <w:r w:rsidR="004A2FB5" w:rsidRPr="004A2FB5">
          <w:rPr>
            <w:rStyle w:val="Collegamentoipertestuale"/>
            <w:lang w:val="en-US"/>
          </w:rPr>
          <w:t>Coturnix</w:t>
        </w:r>
        <w:proofErr w:type="spellEnd"/>
        <w:r w:rsidR="004A2FB5" w:rsidRPr="004A2FB5">
          <w:rPr>
            <w:rStyle w:val="Collegamentoipertestuale"/>
            <w:lang w:val="en-US"/>
          </w:rPr>
          <w:t xml:space="preserve"> </w:t>
        </w:r>
        <w:proofErr w:type="spellStart"/>
        <w:r w:rsidR="004A2FB5" w:rsidRPr="004A2FB5">
          <w:rPr>
            <w:rStyle w:val="Collegamentoipertestuale"/>
            <w:lang w:val="en-US"/>
          </w:rPr>
          <w:t>chinensis</w:t>
        </w:r>
        <w:proofErr w:type="spellEnd"/>
        <w:r w:rsidR="004A2FB5" w:rsidRPr="004A2FB5">
          <w:rPr>
            <w:rStyle w:val="Collegamentoipertestuale"/>
            <w:lang w:val="en-US"/>
          </w:rPr>
          <w:t xml:space="preserve"> </w:t>
        </w:r>
        <w:proofErr w:type="spellStart"/>
        <w:r w:rsidR="004A2FB5" w:rsidRPr="004A2FB5">
          <w:rPr>
            <w:rStyle w:val="Collegamentoipertestuale"/>
            <w:lang w:val="en-US"/>
          </w:rPr>
          <w:t>papuensis</w:t>
        </w:r>
        <w:proofErr w:type="spellEnd"/>
      </w:hyperlink>
      <w:r w:rsidR="004A2FB5" w:rsidRPr="004A2FB5">
        <w:rPr>
          <w:lang w:val="en-US"/>
        </w:rPr>
        <w:t xml:space="preserve"> </w:t>
      </w:r>
      <w:proofErr w:type="spellStart"/>
      <w:r w:rsidR="004A2FB5" w:rsidRPr="004A2FB5">
        <w:rPr>
          <w:lang w:val="en-US"/>
        </w:rPr>
        <w:t>Mayr</w:t>
      </w:r>
      <w:proofErr w:type="spellEnd"/>
      <w:r w:rsidR="004A2FB5" w:rsidRPr="004A2FB5">
        <w:rPr>
          <w:lang w:val="en-US"/>
        </w:rPr>
        <w:t xml:space="preserve"> &amp; Rand, 1936 </w:t>
      </w:r>
    </w:p>
    <w:p w:rsidR="004A2FB5" w:rsidRDefault="009E5568" w:rsidP="004A2FB5">
      <w:pPr>
        <w:rPr>
          <w:lang w:val="en-US"/>
        </w:rPr>
      </w:pPr>
      <w:hyperlink r:id="rId12" w:history="1">
        <w:proofErr w:type="spellStart"/>
        <w:r w:rsidR="004A2FB5" w:rsidRPr="004A2FB5">
          <w:rPr>
            <w:rStyle w:val="Collegamentoipertestuale"/>
            <w:lang w:val="en-US"/>
          </w:rPr>
          <w:t>Coturnix</w:t>
        </w:r>
        <w:proofErr w:type="spellEnd"/>
        <w:r w:rsidR="004A2FB5" w:rsidRPr="004A2FB5">
          <w:rPr>
            <w:rStyle w:val="Collegamentoipertestuale"/>
            <w:lang w:val="en-US"/>
          </w:rPr>
          <w:t xml:space="preserve"> </w:t>
        </w:r>
        <w:proofErr w:type="spellStart"/>
        <w:r w:rsidR="004A2FB5" w:rsidRPr="004A2FB5">
          <w:rPr>
            <w:rStyle w:val="Collegamentoipertestuale"/>
            <w:lang w:val="en-US"/>
          </w:rPr>
          <w:t>chinensis</w:t>
        </w:r>
        <w:proofErr w:type="spellEnd"/>
        <w:r w:rsidR="004A2FB5" w:rsidRPr="004A2FB5">
          <w:rPr>
            <w:rStyle w:val="Collegamentoipertestuale"/>
            <w:lang w:val="en-US"/>
          </w:rPr>
          <w:t xml:space="preserve"> </w:t>
        </w:r>
        <w:proofErr w:type="spellStart"/>
        <w:r w:rsidR="004A2FB5" w:rsidRPr="004A2FB5">
          <w:rPr>
            <w:rStyle w:val="Collegamentoipertestuale"/>
            <w:lang w:val="en-US"/>
          </w:rPr>
          <w:t>trinkutensis</w:t>
        </w:r>
        <w:proofErr w:type="spellEnd"/>
      </w:hyperlink>
      <w:r w:rsidR="004A2FB5" w:rsidRPr="004A2FB5">
        <w:rPr>
          <w:lang w:val="en-US"/>
        </w:rPr>
        <w:t xml:space="preserve"> (Richmond, 1902) </w:t>
      </w:r>
    </w:p>
    <w:p w:rsidR="004A2FB5" w:rsidRDefault="009E5568" w:rsidP="004A2FB5">
      <w:pPr>
        <w:rPr>
          <w:lang w:val="en-US"/>
        </w:rPr>
      </w:pPr>
      <w:hyperlink r:id="rId13" w:history="1">
        <w:proofErr w:type="spellStart"/>
        <w:r w:rsidR="004A2FB5" w:rsidRPr="004A2FB5">
          <w:rPr>
            <w:rStyle w:val="Collegamentoipertestuale"/>
            <w:lang w:val="en-US"/>
          </w:rPr>
          <w:t>Coturnix</w:t>
        </w:r>
        <w:proofErr w:type="spellEnd"/>
        <w:r w:rsidR="004A2FB5" w:rsidRPr="004A2FB5">
          <w:rPr>
            <w:rStyle w:val="Collegamentoipertestuale"/>
            <w:lang w:val="en-US"/>
          </w:rPr>
          <w:t xml:space="preserve"> </w:t>
        </w:r>
        <w:proofErr w:type="spellStart"/>
        <w:r w:rsidR="004A2FB5" w:rsidRPr="004A2FB5">
          <w:rPr>
            <w:rStyle w:val="Collegamentoipertestuale"/>
            <w:lang w:val="en-US"/>
          </w:rPr>
          <w:t>chinensis</w:t>
        </w:r>
        <w:proofErr w:type="spellEnd"/>
        <w:r w:rsidR="004A2FB5" w:rsidRPr="004A2FB5">
          <w:rPr>
            <w:rStyle w:val="Collegamentoipertestuale"/>
            <w:lang w:val="en-US"/>
          </w:rPr>
          <w:t xml:space="preserve"> </w:t>
        </w:r>
        <w:proofErr w:type="spellStart"/>
        <w:r w:rsidR="004A2FB5" w:rsidRPr="004A2FB5">
          <w:rPr>
            <w:rStyle w:val="Collegamentoipertestuale"/>
            <w:lang w:val="en-US"/>
          </w:rPr>
          <w:t>victoriae</w:t>
        </w:r>
        <w:proofErr w:type="spellEnd"/>
      </w:hyperlink>
      <w:r w:rsidR="004A2FB5">
        <w:rPr>
          <w:lang w:val="en-US"/>
        </w:rPr>
        <w:t xml:space="preserve"> (Mathews, 1912) </w:t>
      </w:r>
      <w:r w:rsidR="004A2FB5" w:rsidRPr="004A2FB5">
        <w:rPr>
          <w:lang w:val="en-US"/>
        </w:rPr>
        <w:t> </w:t>
      </w:r>
    </w:p>
    <w:p w:rsidR="004A2FB5" w:rsidRDefault="00687B31" w:rsidP="004A2FB5">
      <w:r w:rsidRPr="00687B31">
        <w:t xml:space="preserve">Questa quaglia nana è distribuita principalmente </w:t>
      </w:r>
      <w:r>
        <w:t>in India, Cina, isole della Malesia, Australia.</w:t>
      </w:r>
    </w:p>
    <w:p w:rsidR="00161DB8" w:rsidRDefault="00161DB8" w:rsidP="004A2FB5">
      <w:r>
        <w:rPr>
          <w:noProof/>
          <w:lang w:eastAsia="it-IT"/>
        </w:rPr>
        <w:drawing>
          <wp:inline distT="0" distB="0" distL="0" distR="0">
            <wp:extent cx="4872495" cy="1620000"/>
            <wp:effectExtent l="19050" t="0" r="4305" b="0"/>
            <wp:docPr id="1" name="Immagine 1" descr="C:\Users\HP\Documents\attilio\raccolta foto uccelli\esotici\quaglie cinesi\DSCN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attilio\raccolta foto uccelli\esotici\quaglie cinesi\DSCN8136.JPG"/>
                    <pic:cNvPicPr>
                      <a:picLocks noChangeAspect="1" noChangeArrowheads="1"/>
                    </pic:cNvPicPr>
                  </pic:nvPicPr>
                  <pic:blipFill>
                    <a:blip r:embed="rId14" cstate="print"/>
                    <a:srcRect t="23928" r="3851" b="33070"/>
                    <a:stretch>
                      <a:fillRect/>
                    </a:stretch>
                  </pic:blipFill>
                  <pic:spPr bwMode="auto">
                    <a:xfrm>
                      <a:off x="0" y="0"/>
                      <a:ext cx="4872495" cy="1620000"/>
                    </a:xfrm>
                    <a:prstGeom prst="rect">
                      <a:avLst/>
                    </a:prstGeom>
                    <a:noFill/>
                    <a:ln w="9525">
                      <a:noFill/>
                      <a:miter lim="800000"/>
                      <a:headEnd/>
                      <a:tailEnd/>
                    </a:ln>
                  </pic:spPr>
                </pic:pic>
              </a:graphicData>
            </a:graphic>
          </wp:inline>
        </w:drawing>
      </w:r>
    </w:p>
    <w:p w:rsidR="00DE2601" w:rsidRDefault="00DE2601" w:rsidP="004A2FB5">
      <w:r>
        <w:t>Il dimorfismo è molto evidente, il maschio presenta il petto blu, sottocoda rosso mattone ed un evidente collare bianco con righe nere, il dorso con disegno nero e bruno, la femmina è prevalentemente bruna, con screziature sabbia, il sottogola presenta una leggera sfumatura chiara come nel collarino del maschio.</w:t>
      </w:r>
    </w:p>
    <w:p w:rsidR="00DE2601" w:rsidRPr="00161DB8" w:rsidRDefault="001F5776" w:rsidP="004A2FB5">
      <w:r>
        <w:t>La loro indole è piuttosto aggressiva verso i loro simili, se si vogliono far convivere più soggetti nello stesso spazio è bene farlo quando sono ancora giovani, ma raggiunta la maturità, tendono a scacciarsi, tanto da uccidersi se lo spazio è limitato, vivono benissimo in coppia, rimanendo unite per molto tempo, nei periodi di freddo intenso si scaldano reciprocamente rimanendo unite con le parti inferiori del corpo sembrando un sogg</w:t>
      </w:r>
      <w:r w:rsidR="00C54FC9">
        <w:t>etto con due teste.</w:t>
      </w:r>
      <w:r w:rsidR="00161DB8" w:rsidRPr="00161DB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61DB8">
        <w:rPr>
          <w:noProof/>
          <w:lang w:eastAsia="it-IT"/>
        </w:rPr>
        <w:drawing>
          <wp:inline distT="0" distB="0" distL="0" distR="0">
            <wp:extent cx="1825652" cy="1510748"/>
            <wp:effectExtent l="19050" t="0" r="3148" b="0"/>
            <wp:docPr id="2" name="Immagine 2" descr="C:\Users\HP\Documents\attilio\raccolta foto uccelli\esotici\quaglie cinesi\quagliette\DSCN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attilio\raccolta foto uccelli\esotici\quaglie cinesi\quagliette\DSCN4287.jpg"/>
                    <pic:cNvPicPr>
                      <a:picLocks noChangeAspect="1" noChangeArrowheads="1"/>
                    </pic:cNvPicPr>
                  </pic:nvPicPr>
                  <pic:blipFill>
                    <a:blip r:embed="rId15" cstate="print"/>
                    <a:srcRect l="46085" t="22890" r="24040" b="44163"/>
                    <a:stretch>
                      <a:fillRect/>
                    </a:stretch>
                  </pic:blipFill>
                  <pic:spPr bwMode="auto">
                    <a:xfrm>
                      <a:off x="0" y="0"/>
                      <a:ext cx="1825652" cy="1510748"/>
                    </a:xfrm>
                    <a:prstGeom prst="rect">
                      <a:avLst/>
                    </a:prstGeom>
                    <a:noFill/>
                    <a:ln w="9525">
                      <a:noFill/>
                      <a:miter lim="800000"/>
                      <a:headEnd/>
                      <a:tailEnd/>
                    </a:ln>
                  </pic:spPr>
                </pic:pic>
              </a:graphicData>
            </a:graphic>
          </wp:inline>
        </w:drawing>
      </w:r>
    </w:p>
    <w:p w:rsidR="000B6288" w:rsidRPr="00161DB8" w:rsidRDefault="000B6288" w:rsidP="004A2FB5">
      <w:r>
        <w:lastRenderedPageBreak/>
        <w:t xml:space="preserve">Come alimentazione , possiamo fornire un misto di piccoli semi, </w:t>
      </w:r>
      <w:proofErr w:type="spellStart"/>
      <w:r>
        <w:t>pastoncino</w:t>
      </w:r>
      <w:proofErr w:type="spellEnd"/>
      <w:r>
        <w:t xml:space="preserve"> per insettivori ed una percentuale di mangime per polli fine, gli insetti sono divorati con avidità, ragni, cavallette, formiche e loro uova, qualche tarma della farina e farfalline di ogni sorta, questi insetti non devono mancare nei primi giorni di vita garantendo uno sviluppo rapido alle piccole quaglie.</w:t>
      </w:r>
      <w:r w:rsidR="00161DB8" w:rsidRPr="00161DB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61DB8">
        <w:rPr>
          <w:noProof/>
          <w:lang w:eastAsia="it-IT"/>
        </w:rPr>
        <w:drawing>
          <wp:inline distT="0" distB="0" distL="0" distR="0">
            <wp:extent cx="3311509" cy="3024000"/>
            <wp:effectExtent l="19050" t="0" r="3191" b="0"/>
            <wp:docPr id="3" name="Immagine 3" descr="C:\Users\HP\Documents\attilio\raccolta foto uccelli\esotici\quaglie cinesi\DSCN8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attilio\raccolta foto uccelli\esotici\quaglie cinesi\DSCN8157.JPG"/>
                    <pic:cNvPicPr>
                      <a:picLocks noChangeAspect="1" noChangeArrowheads="1"/>
                    </pic:cNvPicPr>
                  </pic:nvPicPr>
                  <pic:blipFill>
                    <a:blip r:embed="rId16" cstate="print"/>
                    <a:srcRect r="18321" b="-32"/>
                    <a:stretch>
                      <a:fillRect/>
                    </a:stretch>
                  </pic:blipFill>
                  <pic:spPr bwMode="auto">
                    <a:xfrm>
                      <a:off x="0" y="0"/>
                      <a:ext cx="3311509" cy="3024000"/>
                    </a:xfrm>
                    <a:prstGeom prst="rect">
                      <a:avLst/>
                    </a:prstGeom>
                    <a:noFill/>
                    <a:ln w="9525">
                      <a:noFill/>
                      <a:miter lim="800000"/>
                      <a:headEnd/>
                      <a:tailEnd/>
                    </a:ln>
                  </pic:spPr>
                </pic:pic>
              </a:graphicData>
            </a:graphic>
          </wp:inline>
        </w:drawing>
      </w:r>
    </w:p>
    <w:p w:rsidR="00161DB8" w:rsidRDefault="001F5776" w:rsidP="004A2FB5">
      <w:r>
        <w:t xml:space="preserve">La loro ideale locazione consiste in voliere con fondo in sabbia e terreno soffice, ma ben drenato, una parte rialzata su un’ angolo riparato da correnti d’aria e pioggia battente, sarà scelto per costruire il nido con leggera depressione, rivestito da piccoli fili d’erba </w:t>
      </w:r>
      <w:r w:rsidR="00C54FC9">
        <w:t>e ramoscelli continuamente sistemati per tenere raccolte le uova, sono deposte in numero variabile da 7 a 12, queste sono covate dalla sola femmina per 14-16 giorni , alla nascita che avviene in modo contemporaneo, le piccole quaglie sono completamente indipendenti, ma le minuscole dimensioni le fanno molto sensibili alle temperature che dovrebbero rimanere sopra i 30 gradi, sarebbe opportuno portarle in ambiente riparato e riscaldato usando una scatola gabbia costruita in modo da garantire luce ed una corretta sistemazione con soffitto in zanzariera in modo da evitare che si feriscano la testa battendo su sbarre in ferro.</w:t>
      </w:r>
    </w:p>
    <w:p w:rsidR="000B6288" w:rsidRDefault="000B6288" w:rsidP="004A2FB5">
      <w:r>
        <w:t xml:space="preserve">Oltre alla forma ancestrale, esistono diverse mutazioni, argento, cannella, blu, bianca, pezzata, </w:t>
      </w:r>
      <w:proofErr w:type="spellStart"/>
      <w:r>
        <w:t>golden</w:t>
      </w:r>
      <w:proofErr w:type="spellEnd"/>
      <w:r>
        <w:t xml:space="preserve"> </w:t>
      </w:r>
      <w:proofErr w:type="spellStart"/>
      <w:r>
        <w:t>pearl</w:t>
      </w:r>
      <w:proofErr w:type="spellEnd"/>
      <w:r>
        <w:t xml:space="preserve">, </w:t>
      </w:r>
      <w:r w:rsidR="006535F6">
        <w:t>oltre alla comparsa recente di diverse nuove mutazioni e combinazioni tra queste.</w:t>
      </w:r>
    </w:p>
    <w:p w:rsidR="006535F6" w:rsidRDefault="006535F6" w:rsidP="004A2FB5">
      <w:r>
        <w:t>Le loro ridotte dimensioni ne fanno sicuramente un’ eccellente  uccello ornamentale, tollerano benissimo le nostre temperature, se sono ambientate correttamente si riproducono facilmente, anche se sono sempre da preferire soggetti allevati in purezza dai loro genitori evitando quelli nati usando incubatrici artificiali.</w:t>
      </w:r>
    </w:p>
    <w:p w:rsidR="00687B31" w:rsidRPr="00687B31" w:rsidRDefault="00DE2601" w:rsidP="004A2FB5">
      <w:r>
        <w:t xml:space="preserve"> </w:t>
      </w:r>
      <w:r>
        <w:br/>
      </w:r>
    </w:p>
    <w:p w:rsidR="004A2FB5" w:rsidRPr="00687B31" w:rsidRDefault="004A2FB5" w:rsidP="004A2FB5">
      <w:pPr>
        <w:jc w:val="center"/>
      </w:pPr>
    </w:p>
    <w:sectPr w:rsidR="004A2FB5" w:rsidRPr="00687B31" w:rsidSect="00450A13">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283"/>
  <w:characterSpacingControl w:val="doNotCompress"/>
  <w:compat/>
  <w:rsids>
    <w:rsidRoot w:val="004A2FB5"/>
    <w:rsid w:val="000762B9"/>
    <w:rsid w:val="000B6288"/>
    <w:rsid w:val="00161DB8"/>
    <w:rsid w:val="001F5776"/>
    <w:rsid w:val="00450A13"/>
    <w:rsid w:val="004A2FB5"/>
    <w:rsid w:val="005A0073"/>
    <w:rsid w:val="006535F6"/>
    <w:rsid w:val="00687B31"/>
    <w:rsid w:val="009032B6"/>
    <w:rsid w:val="009E5568"/>
    <w:rsid w:val="00A6713A"/>
    <w:rsid w:val="00C54FC9"/>
    <w:rsid w:val="00D66C9F"/>
    <w:rsid w:val="00DE260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A007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4A2FB5"/>
    <w:rPr>
      <w:color w:val="0000FF"/>
      <w:u w:val="single"/>
    </w:rPr>
  </w:style>
  <w:style w:type="character" w:styleId="Enfasigrassetto">
    <w:name w:val="Strong"/>
    <w:basedOn w:val="Carpredefinitoparagrafo"/>
    <w:uiPriority w:val="22"/>
    <w:qFormat/>
    <w:rsid w:val="00DE2601"/>
    <w:rPr>
      <w:b/>
      <w:bCs/>
    </w:rPr>
  </w:style>
  <w:style w:type="paragraph" w:styleId="Testofumetto">
    <w:name w:val="Balloon Text"/>
    <w:basedOn w:val="Normale"/>
    <w:link w:val="TestofumettoCarattere"/>
    <w:uiPriority w:val="99"/>
    <w:semiHidden/>
    <w:unhideWhenUsed/>
    <w:rsid w:val="00161DB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61D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is.gov/servlet/SingleRpt/SingleRpt?search_topic=TSN&amp;search_value=677914" TargetMode="External"/><Relationship Id="rId13" Type="http://schemas.openxmlformats.org/officeDocument/2006/relationships/hyperlink" Target="http://www.itis.gov/servlet/SingleRpt/SingleRpt?search_topic=TSN&amp;search_value=677919"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itis.gov/servlet/SingleRpt/SingleRpt?search_topic=TSN&amp;search_value=677913" TargetMode="External"/><Relationship Id="rId12" Type="http://schemas.openxmlformats.org/officeDocument/2006/relationships/hyperlink" Target="http://www.itis.gov/servlet/SingleRpt/SingleRpt?search_topic=TSN&amp;search_value=677918"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jpeg"/><Relationship Id="rId1" Type="http://schemas.openxmlformats.org/officeDocument/2006/relationships/styles" Target="styles.xml"/><Relationship Id="rId6" Type="http://schemas.openxmlformats.org/officeDocument/2006/relationships/hyperlink" Target="http://www.itis.gov/servlet/SingleRpt/SingleRpt?search_topic=TSN&amp;search_value=677912" TargetMode="External"/><Relationship Id="rId11" Type="http://schemas.openxmlformats.org/officeDocument/2006/relationships/hyperlink" Target="http://www.itis.gov/servlet/SingleRpt/SingleRpt?search_topic=TSN&amp;search_value=677917" TargetMode="External"/><Relationship Id="rId5" Type="http://schemas.openxmlformats.org/officeDocument/2006/relationships/hyperlink" Target="http://www.itis.gov/servlet/SingleRpt/SingleRpt?search_topic=TSN&amp;search_value=677911" TargetMode="External"/><Relationship Id="rId15" Type="http://schemas.openxmlformats.org/officeDocument/2006/relationships/image" Target="media/image2.jpeg"/><Relationship Id="rId10" Type="http://schemas.openxmlformats.org/officeDocument/2006/relationships/hyperlink" Target="http://www.itis.gov/servlet/SingleRpt/SingleRpt?search_topic=TSN&amp;search_value=677916" TargetMode="External"/><Relationship Id="rId4" Type="http://schemas.openxmlformats.org/officeDocument/2006/relationships/hyperlink" Target="http://www.itis.gov/servlet/SingleRpt/SingleRpt?search_topic=TSN&amp;search_value=176009" TargetMode="External"/><Relationship Id="rId9" Type="http://schemas.openxmlformats.org/officeDocument/2006/relationships/hyperlink" Target="http://www.itis.gov/servlet/SingleRpt/SingleRpt?search_topic=TSN&amp;search_value=677915"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2</Pages>
  <Words>627</Words>
  <Characters>3575</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dc:creator>
  <cp:keywords/>
  <dc:description/>
  <cp:lastModifiedBy>HP</cp:lastModifiedBy>
  <cp:revision>4</cp:revision>
  <dcterms:created xsi:type="dcterms:W3CDTF">2011-07-17T18:48:00Z</dcterms:created>
  <dcterms:modified xsi:type="dcterms:W3CDTF">2013-09-15T17:34:00Z</dcterms:modified>
</cp:coreProperties>
</file>